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CE10" w14:textId="501A7BD0" w:rsidR="00D13E49" w:rsidRDefault="00D13E49" w:rsidP="00803070">
      <w:pPr>
        <w:pStyle w:val="normal-000015"/>
        <w:spacing w:before="0" w:beforeAutospacing="0"/>
        <w:rPr>
          <w:rStyle w:val="zadanifontodlomka0"/>
          <w:b/>
          <w:sz w:val="24"/>
          <w:szCs w:val="24"/>
        </w:rPr>
      </w:pPr>
      <w:r>
        <w:rPr>
          <w:rStyle w:val="zadanifontodlomka0"/>
          <w:b/>
          <w:sz w:val="24"/>
          <w:szCs w:val="24"/>
        </w:rPr>
        <w:t>Uputa za poljoprivrednike</w:t>
      </w:r>
    </w:p>
    <w:p w14:paraId="1060695E" w14:textId="77777777" w:rsidR="00D13E49" w:rsidRDefault="00D13E49" w:rsidP="00803070">
      <w:pPr>
        <w:pStyle w:val="normal-000015"/>
        <w:spacing w:before="0" w:beforeAutospacing="0"/>
        <w:rPr>
          <w:rStyle w:val="zadanifontodlomka0"/>
          <w:b/>
          <w:sz w:val="24"/>
          <w:szCs w:val="24"/>
        </w:rPr>
      </w:pPr>
    </w:p>
    <w:p w14:paraId="575DF52D" w14:textId="4843A0D4" w:rsidR="00803070" w:rsidRPr="004338C0" w:rsidRDefault="00803070" w:rsidP="00803070">
      <w:pPr>
        <w:pStyle w:val="normal-000015"/>
        <w:spacing w:before="0" w:beforeAutospacing="0"/>
        <w:rPr>
          <w:rStyle w:val="zadanifontodlomka0"/>
          <w:b/>
          <w:sz w:val="24"/>
          <w:szCs w:val="24"/>
        </w:rPr>
      </w:pPr>
      <w:r w:rsidRPr="004338C0">
        <w:rPr>
          <w:rStyle w:val="zadanifontodlomka0"/>
          <w:b/>
          <w:sz w:val="24"/>
          <w:szCs w:val="24"/>
        </w:rPr>
        <w:t xml:space="preserve">Mjera 10 Poljoprivreda, okoliš i klimatske promjene </w:t>
      </w:r>
    </w:p>
    <w:p w14:paraId="4A93B5E2" w14:textId="77777777" w:rsidR="00803070" w:rsidRPr="004338C0" w:rsidRDefault="00803070" w:rsidP="00803070">
      <w:pPr>
        <w:pStyle w:val="normal-000015"/>
        <w:spacing w:before="0" w:beforeAutospacing="0"/>
        <w:rPr>
          <w:rStyle w:val="zadanifontodlomka0"/>
          <w:b/>
          <w:sz w:val="24"/>
          <w:szCs w:val="24"/>
        </w:rPr>
      </w:pPr>
      <w:r w:rsidRPr="004338C0">
        <w:rPr>
          <w:rStyle w:val="zadanifontodlomka0"/>
          <w:b/>
          <w:sz w:val="24"/>
          <w:szCs w:val="24"/>
        </w:rPr>
        <w:t>10.1. Plaćanja obveza povezanih s poljoprivredom, okolišem i klimatskim promjenama</w:t>
      </w:r>
    </w:p>
    <w:p w14:paraId="1FB58694" w14:textId="77777777" w:rsidR="00803070" w:rsidRPr="004338C0" w:rsidRDefault="00375A77" w:rsidP="00803070">
      <w:pPr>
        <w:pStyle w:val="normal-000015"/>
        <w:spacing w:before="0" w:beforeAutospacing="0"/>
        <w:rPr>
          <w:rStyle w:val="zadanifontodlomka0"/>
          <w:b/>
          <w:sz w:val="24"/>
          <w:szCs w:val="24"/>
        </w:rPr>
      </w:pPr>
      <w:r w:rsidRPr="004338C0">
        <w:rPr>
          <w:rStyle w:val="zadanifontodlomka0"/>
          <w:b/>
          <w:sz w:val="24"/>
          <w:szCs w:val="24"/>
        </w:rPr>
        <w:t>10.1.17.</w:t>
      </w:r>
      <w:r w:rsidR="00803070" w:rsidRPr="004338C0">
        <w:rPr>
          <w:sz w:val="24"/>
          <w:szCs w:val="24"/>
        </w:rPr>
        <w:t xml:space="preserve"> </w:t>
      </w:r>
      <w:r w:rsidR="00803070" w:rsidRPr="004338C0">
        <w:rPr>
          <w:rStyle w:val="zadanifontodlomka0"/>
          <w:b/>
          <w:sz w:val="24"/>
          <w:szCs w:val="24"/>
        </w:rPr>
        <w:t>Poticanje upotrebe stajskog gnoja na oraničnim površinama</w:t>
      </w:r>
      <w:r w:rsidR="004338C0" w:rsidRPr="004338C0">
        <w:rPr>
          <w:rStyle w:val="zadanifontodlomka0"/>
          <w:b/>
          <w:sz w:val="24"/>
          <w:szCs w:val="24"/>
        </w:rPr>
        <w:t xml:space="preserve"> (PUS)</w:t>
      </w:r>
    </w:p>
    <w:p w14:paraId="11F8AFB0" w14:textId="77777777" w:rsidR="00296CAF" w:rsidRPr="004338C0" w:rsidRDefault="00296CAF" w:rsidP="00296CAF">
      <w:pPr>
        <w:pStyle w:val="normal-000015"/>
        <w:rPr>
          <w:rStyle w:val="zadanifontodlomka0"/>
          <w:b/>
          <w:sz w:val="24"/>
          <w:szCs w:val="24"/>
        </w:rPr>
      </w:pPr>
      <w:r w:rsidRPr="004338C0">
        <w:rPr>
          <w:rStyle w:val="zadanifontodlomka0"/>
          <w:b/>
          <w:sz w:val="24"/>
          <w:szCs w:val="24"/>
        </w:rPr>
        <w:t>Cilj:</w:t>
      </w:r>
    </w:p>
    <w:p w14:paraId="0C78B733" w14:textId="77777777" w:rsidR="005673ED" w:rsidRPr="004338C0" w:rsidRDefault="005673ED" w:rsidP="00296CAF">
      <w:pPr>
        <w:pStyle w:val="normal-000015"/>
        <w:rPr>
          <w:rStyle w:val="zadanifontodlomka0"/>
          <w:sz w:val="24"/>
          <w:szCs w:val="24"/>
        </w:rPr>
      </w:pPr>
      <w:r w:rsidRPr="004338C0">
        <w:rPr>
          <w:rStyle w:val="zadanifontodlomka0"/>
          <w:sz w:val="24"/>
          <w:szCs w:val="24"/>
        </w:rPr>
        <w:t xml:space="preserve">Operacija Poticanje unosa stajskog gnoja na oraničnim površinama </w:t>
      </w:r>
      <w:r w:rsidR="00214E6C" w:rsidRPr="004338C0">
        <w:rPr>
          <w:rStyle w:val="zadanifontodlomka0"/>
          <w:sz w:val="24"/>
          <w:szCs w:val="24"/>
        </w:rPr>
        <w:t xml:space="preserve">ima za cilj potaknuti poljoprivredne proizvođače da </w:t>
      </w:r>
      <w:r w:rsidR="002C6907">
        <w:rPr>
          <w:rStyle w:val="zadanifontodlomka0"/>
          <w:sz w:val="24"/>
          <w:szCs w:val="24"/>
        </w:rPr>
        <w:t xml:space="preserve">se </w:t>
      </w:r>
      <w:r w:rsidR="00214E6C" w:rsidRPr="004338C0">
        <w:rPr>
          <w:rStyle w:val="zadanifontodlomka0"/>
          <w:sz w:val="24"/>
          <w:szCs w:val="24"/>
        </w:rPr>
        <w:t xml:space="preserve">korištenjem stajskog gnoja </w:t>
      </w:r>
      <w:r w:rsidR="009A270A" w:rsidRPr="004338C0">
        <w:rPr>
          <w:rStyle w:val="zadanifontodlomka0"/>
          <w:sz w:val="24"/>
          <w:szCs w:val="24"/>
        </w:rPr>
        <w:t xml:space="preserve">umanji/zaustavi </w:t>
      </w:r>
      <w:r w:rsidR="00214E6C" w:rsidRPr="004338C0">
        <w:rPr>
          <w:rStyle w:val="zadanifontodlomka0"/>
          <w:sz w:val="24"/>
          <w:szCs w:val="24"/>
        </w:rPr>
        <w:t>degradacij</w:t>
      </w:r>
      <w:r w:rsidR="009A270A" w:rsidRPr="004338C0">
        <w:rPr>
          <w:rStyle w:val="zadanifontodlomka0"/>
          <w:sz w:val="24"/>
          <w:szCs w:val="24"/>
        </w:rPr>
        <w:t>a</w:t>
      </w:r>
      <w:r w:rsidR="00214E6C" w:rsidRPr="004338C0">
        <w:rPr>
          <w:rStyle w:val="zadanifontodlomka0"/>
          <w:sz w:val="24"/>
          <w:szCs w:val="24"/>
        </w:rPr>
        <w:t xml:space="preserve"> tla uslijed </w:t>
      </w:r>
      <w:r w:rsidR="004338C0">
        <w:rPr>
          <w:rStyle w:val="zadanifontodlomka0"/>
          <w:sz w:val="24"/>
          <w:szCs w:val="24"/>
        </w:rPr>
        <w:t>smanjenja</w:t>
      </w:r>
      <w:r w:rsidR="00214E6C" w:rsidRPr="004338C0">
        <w:rPr>
          <w:rStyle w:val="zadanifontodlomka0"/>
          <w:sz w:val="24"/>
          <w:szCs w:val="24"/>
        </w:rPr>
        <w:t xml:space="preserve"> sadržaja organske tvari u tlu. </w:t>
      </w:r>
    </w:p>
    <w:p w14:paraId="0E18E537" w14:textId="77777777" w:rsidR="00296CAF" w:rsidRPr="004338C0" w:rsidRDefault="00296CAF" w:rsidP="00296CAF">
      <w:pPr>
        <w:pStyle w:val="Normal1"/>
        <w:rPr>
          <w:b/>
          <w:sz w:val="24"/>
          <w:szCs w:val="24"/>
        </w:rPr>
      </w:pPr>
      <w:r w:rsidRPr="004338C0">
        <w:rPr>
          <w:b/>
          <w:sz w:val="24"/>
          <w:szCs w:val="24"/>
        </w:rPr>
        <w:t>Korisnici mjere:</w:t>
      </w:r>
    </w:p>
    <w:p w14:paraId="6C1E1F9B" w14:textId="77777777" w:rsidR="00296CAF" w:rsidRPr="004338C0" w:rsidRDefault="00214E6C" w:rsidP="00296CAF">
      <w:pPr>
        <w:pStyle w:val="Normal1"/>
        <w:rPr>
          <w:sz w:val="24"/>
          <w:szCs w:val="24"/>
        </w:rPr>
      </w:pPr>
      <w:r w:rsidRPr="004338C0">
        <w:rPr>
          <w:sz w:val="24"/>
          <w:szCs w:val="24"/>
        </w:rPr>
        <w:t>Činjenica je kako se dugi niz godina na pojedinim poljoprivrednim ratarskim površinama vrlo rijetko ili nikako ne koristi stajski gnoj. Uslijed trenda smanjenj</w:t>
      </w:r>
      <w:r w:rsidR="004338C0">
        <w:rPr>
          <w:sz w:val="24"/>
          <w:szCs w:val="24"/>
        </w:rPr>
        <w:t>a</w:t>
      </w:r>
      <w:r w:rsidRPr="004338C0">
        <w:rPr>
          <w:sz w:val="24"/>
          <w:szCs w:val="24"/>
        </w:rPr>
        <w:t xml:space="preserve"> broja stoke na području Republike Hrvatske, nedovoljne </w:t>
      </w:r>
      <w:r w:rsidR="004338C0">
        <w:rPr>
          <w:sz w:val="24"/>
          <w:szCs w:val="24"/>
        </w:rPr>
        <w:t>s</w:t>
      </w:r>
      <w:r w:rsidRPr="004338C0">
        <w:rPr>
          <w:sz w:val="24"/>
          <w:szCs w:val="24"/>
        </w:rPr>
        <w:t xml:space="preserve">u količine raspoloživog stajskog gnoja za raspodjelu po svim površinama oranica. Nasuprot tome, </w:t>
      </w:r>
      <w:r w:rsidR="00C9700F" w:rsidRPr="004338C0">
        <w:rPr>
          <w:sz w:val="24"/>
          <w:szCs w:val="24"/>
        </w:rPr>
        <w:t>poljoprivredna gospodarstva koja se bave stočarskom proizvodnjom primjenjuju stajski gnoj uglavnom na vlastitim poljoprivrednim površinama koje su u blizini farme. Na površinama udaljenima od farmi rijetko se ili nikako ne primjenjuje stajski gnoj pa su i te površine oranica podložne degradaciji uslijed smanjenja sadržaja organske tvari. Korisnici mjere su poljoprivredna gospodarstva</w:t>
      </w:r>
      <w:r w:rsidR="00375A77" w:rsidRPr="004338C0">
        <w:rPr>
          <w:sz w:val="24"/>
          <w:szCs w:val="24"/>
        </w:rPr>
        <w:t xml:space="preserve"> koja </w:t>
      </w:r>
      <w:r w:rsidR="00375A77" w:rsidRPr="00F10D95">
        <w:rPr>
          <w:b/>
          <w:sz w:val="24"/>
          <w:szCs w:val="24"/>
        </w:rPr>
        <w:t>u ARKOD sustavu</w:t>
      </w:r>
      <w:r w:rsidR="00375A77" w:rsidRPr="004338C0">
        <w:rPr>
          <w:sz w:val="24"/>
          <w:szCs w:val="24"/>
        </w:rPr>
        <w:t xml:space="preserve"> imaju poljoprivredno zemljište koje se koristi kao </w:t>
      </w:r>
      <w:r w:rsidR="00375A77" w:rsidRPr="00F10D95">
        <w:rPr>
          <w:b/>
          <w:sz w:val="24"/>
          <w:szCs w:val="24"/>
        </w:rPr>
        <w:t>oranica</w:t>
      </w:r>
      <w:r w:rsidR="00375A77" w:rsidRPr="004338C0">
        <w:rPr>
          <w:sz w:val="24"/>
          <w:szCs w:val="24"/>
        </w:rPr>
        <w:t xml:space="preserve">. </w:t>
      </w:r>
    </w:p>
    <w:p w14:paraId="5AAF7917" w14:textId="77777777" w:rsidR="00214E6C" w:rsidRPr="004338C0" w:rsidRDefault="00214E6C" w:rsidP="00296CAF">
      <w:pPr>
        <w:pStyle w:val="Normal1"/>
        <w:rPr>
          <w:b/>
          <w:sz w:val="24"/>
          <w:szCs w:val="24"/>
        </w:rPr>
      </w:pPr>
      <w:r w:rsidRPr="004338C0">
        <w:rPr>
          <w:b/>
          <w:sz w:val="24"/>
          <w:szCs w:val="24"/>
        </w:rPr>
        <w:t>Obavezna dokumentacija:</w:t>
      </w:r>
    </w:p>
    <w:p w14:paraId="18C543E5" w14:textId="77777777" w:rsidR="003C6F91" w:rsidRDefault="003C6F91" w:rsidP="003C6F91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4338C0">
        <w:rPr>
          <w:sz w:val="24"/>
          <w:szCs w:val="24"/>
        </w:rPr>
        <w:t>Analiza tla</w:t>
      </w:r>
    </w:p>
    <w:p w14:paraId="62CA682E" w14:textId="77777777" w:rsidR="00F10D95" w:rsidRPr="004338C0" w:rsidRDefault="00F10D95" w:rsidP="003C6F91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F10D95">
        <w:rPr>
          <w:sz w:val="24"/>
          <w:szCs w:val="24"/>
        </w:rPr>
        <w:t xml:space="preserve">ačun za obavljenu analizu tla </w:t>
      </w:r>
    </w:p>
    <w:p w14:paraId="0A0B8B33" w14:textId="77777777" w:rsidR="003C6F91" w:rsidRDefault="003C6F91" w:rsidP="003C6F91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4338C0">
        <w:rPr>
          <w:sz w:val="24"/>
          <w:szCs w:val="24"/>
        </w:rPr>
        <w:t xml:space="preserve">Analiza </w:t>
      </w:r>
      <w:r w:rsidR="00375A77" w:rsidRPr="004338C0">
        <w:rPr>
          <w:sz w:val="24"/>
          <w:szCs w:val="24"/>
        </w:rPr>
        <w:t>s</w:t>
      </w:r>
      <w:r w:rsidRPr="004338C0">
        <w:rPr>
          <w:sz w:val="24"/>
          <w:szCs w:val="24"/>
        </w:rPr>
        <w:t>tajskog gnoja</w:t>
      </w:r>
    </w:p>
    <w:p w14:paraId="77E7D8E0" w14:textId="77777777" w:rsidR="00F10D95" w:rsidRPr="004338C0" w:rsidRDefault="00F10D95" w:rsidP="003C6F91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F10D95">
        <w:rPr>
          <w:sz w:val="24"/>
          <w:szCs w:val="24"/>
        </w:rPr>
        <w:t>ačun za obavljenu analizu stajskog gnoja</w:t>
      </w:r>
    </w:p>
    <w:p w14:paraId="1477EFCE" w14:textId="77777777" w:rsidR="003C6F91" w:rsidRPr="004338C0" w:rsidRDefault="003C6F91" w:rsidP="003C6F91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4338C0">
        <w:rPr>
          <w:sz w:val="24"/>
          <w:szCs w:val="24"/>
        </w:rPr>
        <w:t>Petogodišnji plan gnojidbe</w:t>
      </w:r>
    </w:p>
    <w:p w14:paraId="58377100" w14:textId="77777777" w:rsidR="003C6F91" w:rsidRPr="004338C0" w:rsidRDefault="003C6F91" w:rsidP="003C6F91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4338C0">
        <w:rPr>
          <w:sz w:val="24"/>
          <w:szCs w:val="24"/>
        </w:rPr>
        <w:t>Evidencija na Obrascu</w:t>
      </w:r>
    </w:p>
    <w:p w14:paraId="61F6EB8F" w14:textId="77777777" w:rsidR="004338C0" w:rsidRPr="004338C0" w:rsidRDefault="004338C0" w:rsidP="003C6F91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4338C0">
        <w:rPr>
          <w:sz w:val="24"/>
          <w:szCs w:val="24"/>
        </w:rPr>
        <w:t>Račun o kupljenom stajskom gnoju (samo korisnici koji kupuju staj</w:t>
      </w:r>
      <w:r>
        <w:rPr>
          <w:sz w:val="24"/>
          <w:szCs w:val="24"/>
        </w:rPr>
        <w:t>s</w:t>
      </w:r>
      <w:r w:rsidRPr="004338C0">
        <w:rPr>
          <w:sz w:val="24"/>
          <w:szCs w:val="24"/>
        </w:rPr>
        <w:t>ki</w:t>
      </w:r>
      <w:r>
        <w:rPr>
          <w:sz w:val="24"/>
          <w:szCs w:val="24"/>
        </w:rPr>
        <w:t xml:space="preserve"> </w:t>
      </w:r>
      <w:r w:rsidRPr="004338C0">
        <w:rPr>
          <w:sz w:val="24"/>
          <w:szCs w:val="24"/>
        </w:rPr>
        <w:t>gnoj)</w:t>
      </w:r>
    </w:p>
    <w:p w14:paraId="58B7AFA1" w14:textId="77777777" w:rsidR="00375A77" w:rsidRPr="004338C0" w:rsidRDefault="00375A77" w:rsidP="00296CAF">
      <w:pPr>
        <w:pStyle w:val="Normal1"/>
        <w:rPr>
          <w:b/>
          <w:sz w:val="24"/>
          <w:szCs w:val="24"/>
        </w:rPr>
      </w:pPr>
      <w:r w:rsidRPr="004338C0">
        <w:rPr>
          <w:b/>
          <w:sz w:val="24"/>
          <w:szCs w:val="24"/>
        </w:rPr>
        <w:t>Na kojim ARKOD parcelama se provodi?</w:t>
      </w:r>
    </w:p>
    <w:p w14:paraId="19D995CC" w14:textId="77777777" w:rsidR="00375A77" w:rsidRPr="004338C0" w:rsidRDefault="00375A77" w:rsidP="00375A77">
      <w:pPr>
        <w:pStyle w:val="Normal1"/>
        <w:rPr>
          <w:sz w:val="24"/>
          <w:szCs w:val="24"/>
        </w:rPr>
      </w:pPr>
      <w:r w:rsidRPr="004338C0">
        <w:rPr>
          <w:sz w:val="24"/>
          <w:szCs w:val="24"/>
        </w:rPr>
        <w:t xml:space="preserve">Poljoprivredno zemljište na kojem se provodi poljoprivredna proizvodnja </w:t>
      </w:r>
      <w:r w:rsidR="00F10D95">
        <w:rPr>
          <w:sz w:val="24"/>
          <w:szCs w:val="24"/>
        </w:rPr>
        <w:t xml:space="preserve">treba </w:t>
      </w:r>
      <w:r w:rsidRPr="004338C0">
        <w:rPr>
          <w:sz w:val="24"/>
          <w:szCs w:val="24"/>
        </w:rPr>
        <w:t>u ARKOD sustavu</w:t>
      </w:r>
      <w:r w:rsidR="00F10D95" w:rsidRPr="00F10D95">
        <w:t xml:space="preserve"> </w:t>
      </w:r>
      <w:r w:rsidR="00F10D95">
        <w:t xml:space="preserve">biti </w:t>
      </w:r>
      <w:r w:rsidR="00F10D95" w:rsidRPr="00F10D95">
        <w:rPr>
          <w:sz w:val="24"/>
          <w:szCs w:val="24"/>
        </w:rPr>
        <w:t xml:space="preserve">registrirano </w:t>
      </w:r>
      <w:r w:rsidRPr="004338C0">
        <w:rPr>
          <w:sz w:val="24"/>
          <w:szCs w:val="24"/>
        </w:rPr>
        <w:t xml:space="preserve">i označeno kao </w:t>
      </w:r>
      <w:r w:rsidRPr="004338C0">
        <w:rPr>
          <w:b/>
          <w:sz w:val="24"/>
          <w:szCs w:val="24"/>
        </w:rPr>
        <w:t>oranica</w:t>
      </w:r>
      <w:r w:rsidR="00885441" w:rsidRPr="004338C0">
        <w:rPr>
          <w:sz w:val="24"/>
          <w:szCs w:val="24"/>
        </w:rPr>
        <w:t xml:space="preserve"> (neprihvatljive su površine trajnih travnjaka, trajnih nasada, plastenici, staklenici, i ostali načini korištenja poljoprivrednog zemljišta).</w:t>
      </w:r>
    </w:p>
    <w:p w14:paraId="4B547293" w14:textId="77777777" w:rsidR="00375A77" w:rsidRPr="004338C0" w:rsidRDefault="00375A77" w:rsidP="00296CAF">
      <w:pPr>
        <w:pStyle w:val="Normal1"/>
        <w:rPr>
          <w:b/>
          <w:sz w:val="24"/>
          <w:szCs w:val="24"/>
        </w:rPr>
      </w:pPr>
      <w:r w:rsidRPr="004338C0">
        <w:rPr>
          <w:b/>
          <w:sz w:val="24"/>
          <w:szCs w:val="24"/>
        </w:rPr>
        <w:t>Obveze korisnika:</w:t>
      </w:r>
    </w:p>
    <w:p w14:paraId="01BC457A" w14:textId="77777777" w:rsidR="00214E6C" w:rsidRPr="004338C0" w:rsidRDefault="00296CAF" w:rsidP="00296CAF">
      <w:pPr>
        <w:pStyle w:val="Normal1"/>
        <w:rPr>
          <w:sz w:val="24"/>
          <w:szCs w:val="24"/>
        </w:rPr>
      </w:pPr>
      <w:r w:rsidRPr="004338C0">
        <w:rPr>
          <w:sz w:val="24"/>
          <w:szCs w:val="24"/>
        </w:rPr>
        <w:t>Provesti analize tla na</w:t>
      </w:r>
      <w:r w:rsidR="00214E6C" w:rsidRPr="004338C0">
        <w:rPr>
          <w:sz w:val="24"/>
          <w:szCs w:val="24"/>
        </w:rPr>
        <w:t xml:space="preserve"> </w:t>
      </w:r>
      <w:r w:rsidRPr="004338C0">
        <w:rPr>
          <w:sz w:val="24"/>
          <w:szCs w:val="24"/>
        </w:rPr>
        <w:t>ARKOD parcelama na kojima će se provoditi gnojidba stajskim gnojem</w:t>
      </w:r>
      <w:r w:rsidR="00214E6C" w:rsidRPr="004338C0">
        <w:rPr>
          <w:sz w:val="24"/>
          <w:szCs w:val="24"/>
        </w:rPr>
        <w:t>.</w:t>
      </w:r>
    </w:p>
    <w:p w14:paraId="2EC20528" w14:textId="77777777" w:rsidR="00296CAF" w:rsidRPr="004338C0" w:rsidRDefault="00214E6C" w:rsidP="00296CAF">
      <w:pPr>
        <w:pStyle w:val="Normal1"/>
        <w:rPr>
          <w:sz w:val="24"/>
          <w:szCs w:val="24"/>
        </w:rPr>
      </w:pPr>
      <w:r w:rsidRPr="004338C0">
        <w:rPr>
          <w:sz w:val="24"/>
          <w:szCs w:val="24"/>
        </w:rPr>
        <w:t>G</w:t>
      </w:r>
      <w:r w:rsidR="00296CAF" w:rsidRPr="004338C0">
        <w:rPr>
          <w:sz w:val="24"/>
          <w:szCs w:val="24"/>
        </w:rPr>
        <w:t>nojidbu</w:t>
      </w:r>
      <w:r w:rsidRPr="004338C0">
        <w:rPr>
          <w:sz w:val="24"/>
          <w:szCs w:val="24"/>
        </w:rPr>
        <w:t xml:space="preserve"> </w:t>
      </w:r>
      <w:r w:rsidR="00296CAF" w:rsidRPr="004338C0">
        <w:rPr>
          <w:sz w:val="24"/>
          <w:szCs w:val="24"/>
        </w:rPr>
        <w:t>provoditi u skladu s obavljenom analizom tla</w:t>
      </w:r>
      <w:r w:rsidRPr="004338C0">
        <w:rPr>
          <w:sz w:val="24"/>
          <w:szCs w:val="24"/>
        </w:rPr>
        <w:t xml:space="preserve"> te</w:t>
      </w:r>
      <w:r w:rsidR="00296CAF" w:rsidRPr="004338C0">
        <w:rPr>
          <w:sz w:val="24"/>
          <w:szCs w:val="24"/>
        </w:rPr>
        <w:t xml:space="preserve"> izraditi i provoditi petogodišnji plan gnojidbe</w:t>
      </w:r>
      <w:r w:rsidRPr="004338C0">
        <w:rPr>
          <w:sz w:val="24"/>
          <w:szCs w:val="24"/>
        </w:rPr>
        <w:t>.</w:t>
      </w:r>
      <w:r w:rsidR="00296CAF" w:rsidRPr="004338C0">
        <w:rPr>
          <w:sz w:val="24"/>
          <w:szCs w:val="24"/>
        </w:rPr>
        <w:t xml:space="preserve"> </w:t>
      </w:r>
    </w:p>
    <w:p w14:paraId="644C8CF9" w14:textId="77777777" w:rsidR="00885441" w:rsidRPr="004338C0" w:rsidRDefault="00296CAF" w:rsidP="00296CAF">
      <w:pPr>
        <w:pStyle w:val="Normal1"/>
        <w:rPr>
          <w:sz w:val="24"/>
          <w:szCs w:val="24"/>
        </w:rPr>
      </w:pPr>
      <w:r w:rsidRPr="004338C0">
        <w:rPr>
          <w:sz w:val="24"/>
          <w:szCs w:val="24"/>
        </w:rPr>
        <w:t xml:space="preserve">Obavezno je korištenje stajskog gnoja </w:t>
      </w:r>
      <w:r w:rsidR="00885441" w:rsidRPr="004338C0">
        <w:rPr>
          <w:sz w:val="24"/>
          <w:szCs w:val="24"/>
        </w:rPr>
        <w:t xml:space="preserve">(kruti ili tekući) </w:t>
      </w:r>
      <w:r w:rsidRPr="004338C0">
        <w:rPr>
          <w:sz w:val="24"/>
          <w:szCs w:val="24"/>
        </w:rPr>
        <w:t>na oranic</w:t>
      </w:r>
      <w:r w:rsidR="00885441" w:rsidRPr="004338C0">
        <w:rPr>
          <w:sz w:val="24"/>
          <w:szCs w:val="24"/>
        </w:rPr>
        <w:t>i</w:t>
      </w:r>
      <w:r w:rsidRPr="004338C0">
        <w:rPr>
          <w:sz w:val="24"/>
          <w:szCs w:val="24"/>
        </w:rPr>
        <w:t xml:space="preserve"> </w:t>
      </w:r>
      <w:r w:rsidR="00885441" w:rsidRPr="004338C0">
        <w:rPr>
          <w:sz w:val="24"/>
          <w:szCs w:val="24"/>
        </w:rPr>
        <w:t xml:space="preserve">u količini koja odgovara primjeni </w:t>
      </w:r>
      <w:r w:rsidR="00885441" w:rsidRPr="00F10D95">
        <w:rPr>
          <w:b/>
          <w:sz w:val="24"/>
          <w:szCs w:val="24"/>
        </w:rPr>
        <w:t xml:space="preserve">dušika iz stajskog gnoja od najmanje 70 kg N/ha do najviše 170 kg N/ha </w:t>
      </w:r>
      <w:r w:rsidR="00885441" w:rsidRPr="004338C0">
        <w:rPr>
          <w:sz w:val="24"/>
          <w:szCs w:val="24"/>
        </w:rPr>
        <w:t xml:space="preserve">u skladu s minimalnim i maksimalnim količinama stajskog gnoja po hektaru iz Tablice 17. Priloga 1.  </w:t>
      </w:r>
      <w:r w:rsidR="00885441" w:rsidRPr="004338C0">
        <w:rPr>
          <w:sz w:val="24"/>
          <w:szCs w:val="24"/>
        </w:rPr>
        <w:lastRenderedPageBreak/>
        <w:t xml:space="preserve">Pravilnika o izravnoj potpori i IAKS mjerama ruralnog razvoja („Narodne novine“ br. 23/21, 52/21 i </w:t>
      </w:r>
      <w:r w:rsidR="002C6907" w:rsidRPr="002C6907">
        <w:rPr>
          <w:sz w:val="24"/>
          <w:szCs w:val="24"/>
        </w:rPr>
        <w:t>67</w:t>
      </w:r>
      <w:r w:rsidR="00885441" w:rsidRPr="004338C0">
        <w:rPr>
          <w:sz w:val="24"/>
          <w:szCs w:val="24"/>
        </w:rPr>
        <w:t>/21)</w:t>
      </w:r>
      <w:r w:rsidR="006C1B81">
        <w:rPr>
          <w:sz w:val="24"/>
          <w:szCs w:val="24"/>
        </w:rPr>
        <w:t xml:space="preserve">, dalje u tekstu, Pravilnik. </w:t>
      </w:r>
    </w:p>
    <w:p w14:paraId="67C91B33" w14:textId="77777777" w:rsidR="00375A77" w:rsidRPr="004338C0" w:rsidRDefault="00375A77" w:rsidP="00296CAF">
      <w:pPr>
        <w:pStyle w:val="Normal1"/>
        <w:rPr>
          <w:sz w:val="24"/>
          <w:szCs w:val="24"/>
        </w:rPr>
      </w:pPr>
      <w:r w:rsidRPr="004338C0">
        <w:rPr>
          <w:sz w:val="24"/>
          <w:szCs w:val="24"/>
        </w:rPr>
        <w:t xml:space="preserve">Korisnik je preuzeo </w:t>
      </w:r>
      <w:r w:rsidRPr="004338C0">
        <w:rPr>
          <w:b/>
          <w:sz w:val="24"/>
          <w:szCs w:val="24"/>
        </w:rPr>
        <w:t>dvogodišnju obvezu</w:t>
      </w:r>
      <w:r w:rsidRPr="004338C0">
        <w:rPr>
          <w:sz w:val="24"/>
          <w:szCs w:val="24"/>
        </w:rPr>
        <w:t xml:space="preserve"> provođenja operacije potpisivanjem jedinstvenog zahtjeva na listu A.</w:t>
      </w:r>
    </w:p>
    <w:p w14:paraId="29255F33" w14:textId="77777777" w:rsidR="00296CAF" w:rsidRPr="004338C0" w:rsidRDefault="00296CAF" w:rsidP="00296CAF">
      <w:pPr>
        <w:pStyle w:val="Normal1"/>
        <w:rPr>
          <w:sz w:val="24"/>
          <w:szCs w:val="24"/>
        </w:rPr>
      </w:pPr>
      <w:r w:rsidRPr="004338C0">
        <w:rPr>
          <w:sz w:val="24"/>
          <w:szCs w:val="24"/>
        </w:rPr>
        <w:t xml:space="preserve">Tijekom obveznog razdoblja </w:t>
      </w:r>
      <w:r w:rsidRPr="004338C0">
        <w:rPr>
          <w:b/>
          <w:sz w:val="24"/>
          <w:szCs w:val="24"/>
        </w:rPr>
        <w:t>obavezno je provoditi operaciju na istim površinama u skladu s podnesenim zahtjevom za ulazak u sustav potpore</w:t>
      </w:r>
      <w:r w:rsidRPr="004338C0">
        <w:rPr>
          <w:sz w:val="24"/>
          <w:szCs w:val="24"/>
        </w:rPr>
        <w:t xml:space="preserve"> i donesenom Odlukom o ulasku u sustav potpore kojom se utvrđuje obvezna površina. </w:t>
      </w:r>
    </w:p>
    <w:p w14:paraId="19C2020B" w14:textId="77777777" w:rsidR="00296CAF" w:rsidRPr="004338C0" w:rsidRDefault="00296CAF" w:rsidP="00296CAF">
      <w:pPr>
        <w:pStyle w:val="Normal1"/>
        <w:rPr>
          <w:sz w:val="24"/>
          <w:szCs w:val="24"/>
        </w:rPr>
      </w:pPr>
      <w:r w:rsidRPr="004338C0">
        <w:rPr>
          <w:sz w:val="24"/>
          <w:szCs w:val="24"/>
        </w:rPr>
        <w:t xml:space="preserve">Korisnik obavezno uz jedinstveni zahtjev </w:t>
      </w:r>
      <w:r w:rsidRPr="004338C0">
        <w:rPr>
          <w:b/>
          <w:sz w:val="24"/>
          <w:szCs w:val="24"/>
        </w:rPr>
        <w:t xml:space="preserve">prve godine prilikom ulaska u sustav potpore podružnici Agencije za plaćanja donosi na uvid Petogodišnji plan gnojidbe najkasnije do </w:t>
      </w:r>
      <w:r w:rsidR="00F10D95">
        <w:rPr>
          <w:b/>
          <w:sz w:val="24"/>
          <w:szCs w:val="24"/>
        </w:rPr>
        <w:t>15</w:t>
      </w:r>
      <w:r w:rsidRPr="004338C0">
        <w:rPr>
          <w:b/>
          <w:sz w:val="24"/>
          <w:szCs w:val="24"/>
        </w:rPr>
        <w:t xml:space="preserve">. </w:t>
      </w:r>
      <w:r w:rsidR="00F10D95">
        <w:rPr>
          <w:b/>
          <w:sz w:val="24"/>
          <w:szCs w:val="24"/>
        </w:rPr>
        <w:t>rujn</w:t>
      </w:r>
      <w:r w:rsidRPr="004338C0">
        <w:rPr>
          <w:b/>
          <w:sz w:val="24"/>
          <w:szCs w:val="24"/>
        </w:rPr>
        <w:t>a 2021. godine</w:t>
      </w:r>
      <w:r w:rsidR="00214E6C" w:rsidRPr="004338C0">
        <w:rPr>
          <w:sz w:val="24"/>
          <w:szCs w:val="24"/>
        </w:rPr>
        <w:t>.</w:t>
      </w:r>
      <w:r w:rsidR="00375A77" w:rsidRPr="004338C0">
        <w:rPr>
          <w:sz w:val="24"/>
          <w:szCs w:val="24"/>
        </w:rPr>
        <w:t xml:space="preserve"> (prijedlog </w:t>
      </w:r>
      <w:r w:rsidR="00375A77" w:rsidRPr="006C1B81">
        <w:rPr>
          <w:sz w:val="24"/>
          <w:szCs w:val="24"/>
        </w:rPr>
        <w:t xml:space="preserve">obrasca plana gnojidbe </w:t>
      </w:r>
      <w:r w:rsidR="00375A77" w:rsidRPr="004338C0">
        <w:rPr>
          <w:sz w:val="24"/>
          <w:szCs w:val="24"/>
        </w:rPr>
        <w:t>u privitku)</w:t>
      </w:r>
    </w:p>
    <w:p w14:paraId="42D523A8" w14:textId="77777777" w:rsidR="004338C0" w:rsidRPr="004338C0" w:rsidRDefault="004338C0" w:rsidP="00296CAF">
      <w:pPr>
        <w:pStyle w:val="Normal1"/>
        <w:rPr>
          <w:sz w:val="24"/>
          <w:szCs w:val="24"/>
        </w:rPr>
      </w:pPr>
      <w:r w:rsidRPr="004338C0">
        <w:rPr>
          <w:sz w:val="24"/>
          <w:szCs w:val="24"/>
        </w:rPr>
        <w:t xml:space="preserve">Korisnik je obavezan voditi evidenciju o provođenju svih radnji na Obrascu 38. iz Priloga 4. Pravilnika </w:t>
      </w:r>
    </w:p>
    <w:p w14:paraId="05C5BEB3" w14:textId="77777777" w:rsidR="00214E6C" w:rsidRPr="004338C0" w:rsidRDefault="00214E6C" w:rsidP="00296CAF">
      <w:pPr>
        <w:pStyle w:val="Normal1"/>
        <w:rPr>
          <w:sz w:val="24"/>
          <w:szCs w:val="24"/>
        </w:rPr>
      </w:pPr>
      <w:r w:rsidRPr="004338C0">
        <w:rPr>
          <w:sz w:val="24"/>
          <w:szCs w:val="24"/>
        </w:rPr>
        <w:t xml:space="preserve">Svake godine tijekom dvogodišnjeg obveznog razdoblja </w:t>
      </w:r>
      <w:r w:rsidR="00885441" w:rsidRPr="004338C0">
        <w:rPr>
          <w:sz w:val="24"/>
          <w:szCs w:val="24"/>
        </w:rPr>
        <w:t xml:space="preserve">obavezno je </w:t>
      </w:r>
      <w:r w:rsidRPr="004338C0">
        <w:rPr>
          <w:sz w:val="24"/>
          <w:szCs w:val="24"/>
        </w:rPr>
        <w:t>završiti izobrazbu ili koristiti individualno savjetovanje ili sudjelovati u demonstracijskoj aktivnosti u trajanju od najmanje 6 sati vezano uz M10.</w:t>
      </w:r>
    </w:p>
    <w:p w14:paraId="0E318444" w14:textId="77777777" w:rsidR="00296CAF" w:rsidRPr="004338C0" w:rsidRDefault="00296CAF" w:rsidP="00296CAF">
      <w:pPr>
        <w:pStyle w:val="Normal1"/>
        <w:rPr>
          <w:b/>
          <w:sz w:val="24"/>
          <w:szCs w:val="24"/>
        </w:rPr>
      </w:pPr>
      <w:r w:rsidRPr="004338C0">
        <w:rPr>
          <w:b/>
          <w:sz w:val="24"/>
          <w:szCs w:val="24"/>
        </w:rPr>
        <w:t>Važni rokovi:</w:t>
      </w:r>
    </w:p>
    <w:p w14:paraId="1CABD0C3" w14:textId="77777777" w:rsidR="00885441" w:rsidRPr="004338C0" w:rsidRDefault="00375A77" w:rsidP="00375A77">
      <w:pPr>
        <w:pStyle w:val="Normal1"/>
        <w:rPr>
          <w:sz w:val="24"/>
          <w:szCs w:val="24"/>
        </w:rPr>
      </w:pPr>
      <w:r w:rsidRPr="004338C0">
        <w:rPr>
          <w:sz w:val="24"/>
          <w:szCs w:val="24"/>
        </w:rPr>
        <w:t>Korisnik podnosi Agenciji za plaćanja jedinstveni zahtjev na kojem traži ulazak u sustav potpore za PUS na listu A i prijavljuju površine na listu B, a u skladu s propisanim rokovima podnošenja jedinstvenog zahtjeva</w:t>
      </w:r>
      <w:r w:rsidR="00885441" w:rsidRPr="004338C0">
        <w:rPr>
          <w:sz w:val="24"/>
          <w:szCs w:val="24"/>
        </w:rPr>
        <w:t xml:space="preserve"> (</w:t>
      </w:r>
      <w:r w:rsidR="00885441" w:rsidRPr="004338C0">
        <w:rPr>
          <w:b/>
          <w:sz w:val="24"/>
          <w:szCs w:val="24"/>
        </w:rPr>
        <w:t>U 2021. godini do 28. lipnja 2021.)</w:t>
      </w:r>
    </w:p>
    <w:p w14:paraId="06749B31" w14:textId="77777777" w:rsidR="004338C0" w:rsidRDefault="009A270A" w:rsidP="004338C0">
      <w:pPr>
        <w:pStyle w:val="Normal1"/>
        <w:rPr>
          <w:b/>
          <w:sz w:val="24"/>
          <w:szCs w:val="24"/>
        </w:rPr>
      </w:pPr>
      <w:r w:rsidRPr="004338C0">
        <w:rPr>
          <w:sz w:val="24"/>
          <w:szCs w:val="24"/>
        </w:rPr>
        <w:t xml:space="preserve">Petogodišnji plan gnojidbe,  analizu tla i analizu stajskog gnoja te račun za obavljenu analizu tla i račun za obavljenu analizu stajskog gnoja korisnik dostavlja na uvid podružnici Agencije za plaćanja najkasnije </w:t>
      </w:r>
      <w:r w:rsidRPr="004338C0">
        <w:rPr>
          <w:b/>
          <w:sz w:val="24"/>
          <w:szCs w:val="24"/>
        </w:rPr>
        <w:t>do 15.  rujna 2021.</w:t>
      </w:r>
      <w:r w:rsidR="004338C0" w:rsidRPr="004338C0">
        <w:rPr>
          <w:b/>
          <w:sz w:val="24"/>
          <w:szCs w:val="24"/>
        </w:rPr>
        <w:t xml:space="preserve"> godine.</w:t>
      </w:r>
    </w:p>
    <w:p w14:paraId="42724BD1" w14:textId="77777777" w:rsidR="004338C0" w:rsidRPr="004338C0" w:rsidRDefault="004338C0" w:rsidP="004338C0">
      <w:pPr>
        <w:pStyle w:val="Normal1"/>
        <w:spacing w:before="0" w:beforeAutospacing="0"/>
        <w:rPr>
          <w:b/>
          <w:sz w:val="24"/>
          <w:szCs w:val="24"/>
        </w:rPr>
      </w:pPr>
    </w:p>
    <w:p w14:paraId="35D3606D" w14:textId="77777777" w:rsidR="009A270A" w:rsidRPr="004338C0" w:rsidRDefault="004338C0" w:rsidP="00F10D95">
      <w:pPr>
        <w:jc w:val="both"/>
        <w:rPr>
          <w:rFonts w:ascii="Times New Roman" w:hAnsi="Times New Roman" w:cs="Times New Roman"/>
          <w:sz w:val="24"/>
          <w:szCs w:val="24"/>
        </w:rPr>
      </w:pPr>
      <w:r w:rsidRPr="004338C0">
        <w:rPr>
          <w:rFonts w:ascii="Times New Roman" w:hAnsi="Times New Roman" w:cs="Times New Roman"/>
          <w:sz w:val="24"/>
          <w:szCs w:val="24"/>
        </w:rPr>
        <w:t>K</w:t>
      </w:r>
      <w:r w:rsidR="009A270A" w:rsidRPr="004338C0">
        <w:rPr>
          <w:rFonts w:ascii="Times New Roman" w:hAnsi="Times New Roman" w:cs="Times New Roman"/>
          <w:sz w:val="24"/>
          <w:szCs w:val="24"/>
        </w:rPr>
        <w:t xml:space="preserve">orisnik koji nema dovoljne količine stajskog gnoja ili nema proizvodnju vlastitog stajskog gnoja dužan je </w:t>
      </w:r>
      <w:r w:rsidR="009A270A" w:rsidRPr="004338C0">
        <w:rPr>
          <w:rFonts w:ascii="Times New Roman" w:hAnsi="Times New Roman" w:cs="Times New Roman"/>
          <w:b/>
          <w:sz w:val="24"/>
          <w:szCs w:val="24"/>
        </w:rPr>
        <w:t>do 15. rujna 2021. godine</w:t>
      </w:r>
      <w:r w:rsidR="009A270A" w:rsidRPr="004338C0">
        <w:rPr>
          <w:rFonts w:ascii="Times New Roman" w:hAnsi="Times New Roman" w:cs="Times New Roman"/>
          <w:sz w:val="24"/>
          <w:szCs w:val="24"/>
        </w:rPr>
        <w:t xml:space="preserve"> Agenciji za plaćanja dostaviti presliku računa o kupljenom stajskom gnoju iz kojeg je vidljiva:</w:t>
      </w:r>
    </w:p>
    <w:p w14:paraId="092704BA" w14:textId="77777777" w:rsidR="009A270A" w:rsidRPr="004338C0" w:rsidRDefault="009A270A" w:rsidP="009A270A">
      <w:pPr>
        <w:rPr>
          <w:rFonts w:ascii="Times New Roman" w:hAnsi="Times New Roman" w:cs="Times New Roman"/>
          <w:sz w:val="24"/>
          <w:szCs w:val="24"/>
        </w:rPr>
      </w:pPr>
      <w:r w:rsidRPr="004338C0">
        <w:rPr>
          <w:rFonts w:ascii="Times New Roman" w:hAnsi="Times New Roman" w:cs="Times New Roman"/>
          <w:sz w:val="24"/>
          <w:szCs w:val="24"/>
        </w:rPr>
        <w:t xml:space="preserve">- količina kupljenog stajskog gnoja po vrstama stajskog gnoja navedenima u </w:t>
      </w:r>
      <w:r w:rsidRPr="004338C0">
        <w:rPr>
          <w:rFonts w:ascii="Times New Roman" w:hAnsi="Times New Roman" w:cs="Times New Roman"/>
          <w:b/>
          <w:sz w:val="24"/>
          <w:szCs w:val="24"/>
        </w:rPr>
        <w:t>Tablici 17.</w:t>
      </w:r>
      <w:r w:rsidRPr="004338C0">
        <w:rPr>
          <w:rFonts w:ascii="Times New Roman" w:hAnsi="Times New Roman" w:cs="Times New Roman"/>
          <w:sz w:val="24"/>
          <w:szCs w:val="24"/>
        </w:rPr>
        <w:t xml:space="preserve"> </w:t>
      </w:r>
      <w:r w:rsidRPr="004338C0">
        <w:rPr>
          <w:rFonts w:ascii="Times New Roman" w:hAnsi="Times New Roman" w:cs="Times New Roman"/>
          <w:b/>
          <w:sz w:val="24"/>
          <w:szCs w:val="24"/>
        </w:rPr>
        <w:t>Priloga 1. Pravilnika</w:t>
      </w:r>
      <w:r w:rsidR="004338C0" w:rsidRPr="00433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CFFDB" w14:textId="77777777" w:rsidR="009A270A" w:rsidRPr="004338C0" w:rsidRDefault="009A270A" w:rsidP="009A270A">
      <w:pPr>
        <w:rPr>
          <w:rFonts w:ascii="Times New Roman" w:hAnsi="Times New Roman" w:cs="Times New Roman"/>
          <w:sz w:val="24"/>
          <w:szCs w:val="24"/>
        </w:rPr>
      </w:pPr>
      <w:r w:rsidRPr="004338C0">
        <w:rPr>
          <w:rFonts w:ascii="Times New Roman" w:hAnsi="Times New Roman" w:cs="Times New Roman"/>
          <w:sz w:val="24"/>
          <w:szCs w:val="24"/>
        </w:rPr>
        <w:t>- MIBPG i naziv poljoprivrednika od kojeg je kupljen stajski gnoj.</w:t>
      </w:r>
    </w:p>
    <w:p w14:paraId="77203572" w14:textId="77777777" w:rsidR="009A270A" w:rsidRPr="004338C0" w:rsidRDefault="009A270A" w:rsidP="00F10D95">
      <w:pPr>
        <w:jc w:val="both"/>
        <w:rPr>
          <w:rFonts w:ascii="Times New Roman" w:hAnsi="Times New Roman" w:cs="Times New Roman"/>
          <w:sz w:val="24"/>
          <w:szCs w:val="24"/>
        </w:rPr>
      </w:pPr>
      <w:r w:rsidRPr="004338C0">
        <w:rPr>
          <w:rFonts w:ascii="Times New Roman" w:hAnsi="Times New Roman" w:cs="Times New Roman"/>
          <w:sz w:val="24"/>
          <w:szCs w:val="24"/>
        </w:rPr>
        <w:t xml:space="preserve">Za korisnika koji posjeduje stoku količina proizvedenog stajskog gnoja izračunava se na temelju prosječnog broja grla/kljunova evidentiranih u JRDŽ-u u godini koja prethodi godini podnošenja jedinstvenog zahtjeva i godišnjoj proizvedenoj količini dušika u stajskom gnoju po UG iz </w:t>
      </w:r>
      <w:r w:rsidRPr="004338C0">
        <w:rPr>
          <w:rFonts w:ascii="Times New Roman" w:hAnsi="Times New Roman" w:cs="Times New Roman"/>
          <w:b/>
          <w:sz w:val="24"/>
          <w:szCs w:val="24"/>
        </w:rPr>
        <w:t>Tablice 18. Priloga 1. Pravilnika</w:t>
      </w:r>
      <w:r w:rsidR="00433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AF3BCB" w14:textId="1853214A" w:rsidR="00377C01" w:rsidRDefault="00377C01" w:rsidP="009A270A"/>
    <w:p w14:paraId="4060CF32" w14:textId="7E106E5B" w:rsidR="00396489" w:rsidRDefault="00396489" w:rsidP="009A270A">
      <w:r>
        <w:t>MINISTARSTVO POLJOPRIVREDE</w:t>
      </w:r>
    </w:p>
    <w:p w14:paraId="4830C6AF" w14:textId="7AED7863" w:rsidR="00396489" w:rsidRDefault="00396489" w:rsidP="009A270A">
      <w:r>
        <w:t>SLUŽBA ZA  STRUČNU PODRŠKU -PODRUČNA JEDINICA KARLOVAC</w:t>
      </w:r>
    </w:p>
    <w:sectPr w:rsidR="0039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237D6"/>
    <w:multiLevelType w:val="hybridMultilevel"/>
    <w:tmpl w:val="A6AA4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AF"/>
    <w:rsid w:val="00214E6C"/>
    <w:rsid w:val="00296CAF"/>
    <w:rsid w:val="002C6907"/>
    <w:rsid w:val="00375A77"/>
    <w:rsid w:val="00377C01"/>
    <w:rsid w:val="00396489"/>
    <w:rsid w:val="003C6F91"/>
    <w:rsid w:val="004338C0"/>
    <w:rsid w:val="005673ED"/>
    <w:rsid w:val="006C1B81"/>
    <w:rsid w:val="00741238"/>
    <w:rsid w:val="00803070"/>
    <w:rsid w:val="00885441"/>
    <w:rsid w:val="009A270A"/>
    <w:rsid w:val="00C9700F"/>
    <w:rsid w:val="00D13E49"/>
    <w:rsid w:val="00E0565F"/>
    <w:rsid w:val="00E90D68"/>
    <w:rsid w:val="00F1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FFF2"/>
  <w15:chartTrackingRefBased/>
  <w15:docId w15:val="{26B3E568-1A65-4CAB-A771-38E8DA0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basedOn w:val="Normal"/>
    <w:rsid w:val="00296CAF"/>
    <w:pPr>
      <w:spacing w:before="100" w:beforeAutospacing="1" w:after="0" w:line="240" w:lineRule="auto"/>
      <w:jc w:val="both"/>
    </w:pPr>
    <w:rPr>
      <w:rFonts w:ascii="Times New Roman" w:eastAsiaTheme="minorEastAsia" w:hAnsi="Times New Roman" w:cs="Times New Roman"/>
      <w:lang w:eastAsia="hr-HR"/>
    </w:rPr>
  </w:style>
  <w:style w:type="paragraph" w:customStyle="1" w:styleId="normal-000015">
    <w:name w:val="normal-000015"/>
    <w:basedOn w:val="Normal"/>
    <w:rsid w:val="00296CAF"/>
    <w:pPr>
      <w:spacing w:before="100" w:beforeAutospacing="1" w:after="0" w:line="240" w:lineRule="auto"/>
      <w:jc w:val="both"/>
    </w:pPr>
    <w:rPr>
      <w:rFonts w:ascii="Times New Roman" w:eastAsiaTheme="minorEastAsia" w:hAnsi="Times New Roman" w:cs="Times New Roman"/>
      <w:lang w:eastAsia="hr-HR"/>
    </w:rPr>
  </w:style>
  <w:style w:type="character" w:customStyle="1" w:styleId="zadanifontodlomka0">
    <w:name w:val="zadanifontodlomka"/>
    <w:basedOn w:val="Zadanifontodlomka"/>
    <w:rsid w:val="00296CAF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03">
    <w:name w:val="000003"/>
    <w:basedOn w:val="Zadanifontodlomka"/>
    <w:rsid w:val="00296CAF"/>
    <w:rPr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Međimurec</dc:creator>
  <cp:keywords/>
  <dc:description/>
  <cp:lastModifiedBy>Grad Duga Resa Grad Duga Resa</cp:lastModifiedBy>
  <cp:revision>5</cp:revision>
  <dcterms:created xsi:type="dcterms:W3CDTF">2021-07-15T09:04:00Z</dcterms:created>
  <dcterms:modified xsi:type="dcterms:W3CDTF">2021-07-15T09:55:00Z</dcterms:modified>
</cp:coreProperties>
</file>